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02D" w:rsidRDefault="005F4138">
      <w:pPr>
        <w:autoSpaceDE w:val="0"/>
        <w:jc w:val="center"/>
        <w:rPr>
          <w:rFonts w:ascii="Times New Roman" w:hAnsi="Times New Roman"/>
          <w:b/>
          <w:bCs/>
          <w:color w:val="000000"/>
          <w:kern w:val="0"/>
          <w:szCs w:val="24"/>
        </w:rPr>
      </w:pPr>
      <w:r>
        <w:rPr>
          <w:rFonts w:ascii="Times New Roman" w:hAnsi="Times New Roman"/>
          <w:b/>
          <w:bCs/>
          <w:color w:val="000000"/>
          <w:kern w:val="0"/>
          <w:szCs w:val="24"/>
        </w:rPr>
        <w:t>National Taiwan University Teaching and Research Unit Evaluation</w:t>
      </w:r>
    </w:p>
    <w:p w:rsidR="001F402D" w:rsidRDefault="005F4138">
      <w:pPr>
        <w:autoSpaceDE w:val="0"/>
        <w:jc w:val="center"/>
        <w:rPr>
          <w:rFonts w:ascii="Times New Roman" w:hAnsi="Times New Roman"/>
          <w:b/>
          <w:bCs/>
          <w:color w:val="000000"/>
          <w:kern w:val="0"/>
          <w:szCs w:val="24"/>
        </w:rPr>
      </w:pPr>
      <w:r>
        <w:rPr>
          <w:rFonts w:ascii="Times New Roman" w:hAnsi="Times New Roman"/>
          <w:b/>
          <w:bCs/>
          <w:color w:val="000000"/>
          <w:kern w:val="0"/>
          <w:szCs w:val="24"/>
        </w:rPr>
        <w:t>Evaluation Committee Member Job Description</w:t>
      </w:r>
    </w:p>
    <w:p w:rsidR="001F402D" w:rsidRDefault="001F402D">
      <w:pPr>
        <w:autoSpaceDE w:val="0"/>
        <w:rPr>
          <w:rFonts w:ascii="Times New Roman" w:hAnsi="Times New Roman"/>
          <w:color w:val="000000"/>
          <w:kern w:val="0"/>
          <w:szCs w:val="24"/>
        </w:rPr>
      </w:pPr>
    </w:p>
    <w:p w:rsidR="001F402D" w:rsidRDefault="005F4138">
      <w:pPr>
        <w:autoSpaceDE w:val="0"/>
        <w:rPr>
          <w:rFonts w:ascii="Times New Roman" w:hAnsi="Times New Roman"/>
          <w:color w:val="000000"/>
          <w:kern w:val="0"/>
          <w:szCs w:val="24"/>
        </w:rPr>
      </w:pPr>
      <w:r>
        <w:rPr>
          <w:rFonts w:ascii="Times New Roman" w:hAnsi="Times New Roman"/>
          <w:color w:val="000000"/>
          <w:kern w:val="0"/>
          <w:szCs w:val="24"/>
        </w:rPr>
        <w:t>Dear committee members,</w:t>
      </w:r>
    </w:p>
    <w:p w:rsidR="001F402D" w:rsidRDefault="001F402D">
      <w:pPr>
        <w:autoSpaceDE w:val="0"/>
        <w:rPr>
          <w:rFonts w:ascii="Times New Roman" w:hAnsi="Times New Roman"/>
          <w:color w:val="000000"/>
          <w:kern w:val="0"/>
          <w:szCs w:val="24"/>
        </w:rPr>
      </w:pPr>
    </w:p>
    <w:p w:rsidR="001F402D" w:rsidRDefault="005F4138">
      <w:pPr>
        <w:autoSpaceDE w:val="0"/>
        <w:rPr>
          <w:rFonts w:ascii="Times New Roman" w:hAnsi="Times New Roman"/>
          <w:color w:val="000000"/>
          <w:kern w:val="0"/>
          <w:szCs w:val="24"/>
        </w:rPr>
      </w:pPr>
      <w:r>
        <w:rPr>
          <w:rFonts w:ascii="Times New Roman" w:hAnsi="Times New Roman"/>
          <w:color w:val="000000"/>
          <w:kern w:val="0"/>
          <w:szCs w:val="24"/>
        </w:rPr>
        <w:t>Thank you for serving on a teaching and research unit ev</w:t>
      </w:r>
      <w:bookmarkStart w:id="0" w:name="_GoBack"/>
      <w:bookmarkEnd w:id="0"/>
      <w:r>
        <w:rPr>
          <w:rFonts w:ascii="Times New Roman" w:hAnsi="Times New Roman"/>
          <w:color w:val="000000"/>
          <w:kern w:val="0"/>
          <w:szCs w:val="24"/>
        </w:rPr>
        <w:t>aluation committee. The following is a brief job description as evaluation committee members, along with resources and links:</w:t>
      </w:r>
    </w:p>
    <w:p w:rsidR="001F402D" w:rsidRDefault="005F4138">
      <w:pPr>
        <w:autoSpaceDE w:val="0"/>
        <w:spacing w:before="180"/>
        <w:rPr>
          <w:rFonts w:ascii="Times New Roman" w:hAnsi="Times New Roman"/>
          <w:b/>
          <w:bCs/>
          <w:color w:val="000000"/>
          <w:kern w:val="0"/>
          <w:szCs w:val="24"/>
        </w:rPr>
      </w:pPr>
      <w:r>
        <w:rPr>
          <w:rFonts w:ascii="Times New Roman" w:hAnsi="Times New Roman"/>
          <w:b/>
          <w:bCs/>
          <w:color w:val="000000"/>
          <w:kern w:val="0"/>
          <w:szCs w:val="24"/>
        </w:rPr>
        <w:t>I. Preliminary Self-evaluation Report Evaluation:</w:t>
      </w:r>
    </w:p>
    <w:p w:rsidR="001F402D" w:rsidRDefault="005F4138">
      <w:pPr>
        <w:pStyle w:val="a3"/>
        <w:numPr>
          <w:ilvl w:val="0"/>
          <w:numId w:val="1"/>
        </w:numPr>
        <w:autoSpaceDE w:val="0"/>
        <w:ind w:left="567" w:hanging="161"/>
      </w:pPr>
      <w:r>
        <w:rPr>
          <w:rFonts w:ascii="Times New Roman" w:hAnsi="Times New Roman"/>
          <w:b/>
          <w:bCs/>
          <w:color w:val="000000"/>
          <w:kern w:val="0"/>
          <w:szCs w:val="24"/>
        </w:rPr>
        <w:t xml:space="preserve">Self-evaluation Report: </w:t>
      </w:r>
      <w:r>
        <w:rPr>
          <w:rFonts w:ascii="Times New Roman" w:hAnsi="Times New Roman"/>
          <w:color w:val="000000"/>
          <w:kern w:val="0"/>
          <w:szCs w:val="24"/>
        </w:rPr>
        <w:t>the unit being evaluated will send a self-evaluation report thirty (30) days before the site visit for you to evaluate, along with a feedback form for you to review in advance.</w:t>
      </w:r>
    </w:p>
    <w:p w:rsidR="001F402D" w:rsidRDefault="005F4138">
      <w:pPr>
        <w:pStyle w:val="a3"/>
        <w:numPr>
          <w:ilvl w:val="0"/>
          <w:numId w:val="1"/>
        </w:numPr>
        <w:autoSpaceDE w:val="0"/>
        <w:ind w:left="567" w:hanging="161"/>
      </w:pPr>
      <w:r>
        <w:rPr>
          <w:rFonts w:ascii="Times New Roman" w:hAnsi="Times New Roman"/>
          <w:b/>
          <w:bCs/>
          <w:color w:val="000000"/>
          <w:kern w:val="0"/>
          <w:szCs w:val="24"/>
        </w:rPr>
        <w:t xml:space="preserve">Return the Feedback Form: </w:t>
      </w:r>
      <w:r>
        <w:rPr>
          <w:rFonts w:ascii="Times New Roman" w:hAnsi="Times New Roman"/>
          <w:color w:val="000000"/>
          <w:kern w:val="0"/>
          <w:szCs w:val="24"/>
        </w:rPr>
        <w:t>please fill out the feedback form with your suggestions and questions and return it to the unit being evaluated seven (7) days prior to the site visit. The unit will find time during the site visit to answer the questions in your preliminary review.</w:t>
      </w:r>
    </w:p>
    <w:p w:rsidR="001F402D" w:rsidRDefault="005F4138">
      <w:pPr>
        <w:autoSpaceDE w:val="0"/>
        <w:spacing w:before="180"/>
        <w:rPr>
          <w:rFonts w:ascii="Times New Roman" w:hAnsi="Times New Roman"/>
          <w:b/>
          <w:bCs/>
          <w:color w:val="000000"/>
          <w:kern w:val="0"/>
          <w:szCs w:val="24"/>
        </w:rPr>
      </w:pPr>
      <w:r>
        <w:rPr>
          <w:rFonts w:ascii="Times New Roman" w:hAnsi="Times New Roman"/>
          <w:b/>
          <w:bCs/>
          <w:color w:val="000000"/>
          <w:kern w:val="0"/>
          <w:szCs w:val="24"/>
        </w:rPr>
        <w:t>II. Site Visit:</w:t>
      </w:r>
    </w:p>
    <w:p w:rsidR="001F402D" w:rsidRDefault="005F4138">
      <w:pPr>
        <w:pStyle w:val="a3"/>
        <w:numPr>
          <w:ilvl w:val="0"/>
          <w:numId w:val="2"/>
        </w:numPr>
        <w:autoSpaceDE w:val="0"/>
        <w:ind w:left="602" w:hanging="168"/>
        <w:rPr>
          <w:rFonts w:ascii="Times New Roman" w:hAnsi="Times New Roman"/>
          <w:color w:val="000000"/>
          <w:kern w:val="0"/>
          <w:szCs w:val="24"/>
        </w:rPr>
      </w:pPr>
      <w:r>
        <w:rPr>
          <w:rFonts w:ascii="Times New Roman" w:hAnsi="Times New Roman"/>
          <w:color w:val="000000"/>
          <w:kern w:val="0"/>
          <w:szCs w:val="24"/>
        </w:rPr>
        <w:t xml:space="preserve">Each unit under evaluation will arrange a site visit </w:t>
      </w:r>
      <w:bookmarkStart w:id="1" w:name="_Hlk117526987"/>
      <w:r>
        <w:rPr>
          <w:rFonts w:ascii="Times New Roman" w:hAnsi="Times New Roman"/>
          <w:color w:val="000000"/>
          <w:kern w:val="0"/>
          <w:szCs w:val="24"/>
        </w:rPr>
        <w:t>(1 to 2 days as the principle)</w:t>
      </w:r>
      <w:bookmarkEnd w:id="1"/>
      <w:r>
        <w:rPr>
          <w:rFonts w:ascii="Times New Roman" w:hAnsi="Times New Roman"/>
          <w:color w:val="000000"/>
          <w:kern w:val="0"/>
          <w:szCs w:val="24"/>
        </w:rPr>
        <w:t>; please reserve time so you can participate in the entire process.</w:t>
      </w:r>
    </w:p>
    <w:p w:rsidR="001F402D" w:rsidRDefault="005F4138">
      <w:pPr>
        <w:pStyle w:val="a3"/>
        <w:numPr>
          <w:ilvl w:val="0"/>
          <w:numId w:val="2"/>
        </w:numPr>
        <w:autoSpaceDE w:val="0"/>
        <w:ind w:left="602" w:hanging="168"/>
        <w:rPr>
          <w:rFonts w:ascii="Times New Roman" w:hAnsi="Times New Roman"/>
          <w:color w:val="000000"/>
          <w:kern w:val="0"/>
          <w:szCs w:val="24"/>
        </w:rPr>
      </w:pPr>
      <w:r>
        <w:rPr>
          <w:rFonts w:ascii="Times New Roman" w:hAnsi="Times New Roman"/>
          <w:color w:val="000000"/>
          <w:kern w:val="0"/>
          <w:szCs w:val="24"/>
        </w:rPr>
        <w:t xml:space="preserve">The schedule for a site </w:t>
      </w:r>
      <w:proofErr w:type="gramStart"/>
      <w:r>
        <w:rPr>
          <w:rFonts w:ascii="Times New Roman" w:hAnsi="Times New Roman"/>
          <w:color w:val="000000"/>
          <w:kern w:val="0"/>
          <w:szCs w:val="24"/>
        </w:rPr>
        <w:t>visit</w:t>
      </w:r>
      <w:proofErr w:type="gramEnd"/>
      <w:r>
        <w:rPr>
          <w:rFonts w:ascii="Times New Roman" w:hAnsi="Times New Roman"/>
          <w:color w:val="000000"/>
          <w:kern w:val="0"/>
          <w:szCs w:val="24"/>
        </w:rPr>
        <w:t xml:space="preserve"> usually includes the following:</w:t>
      </w:r>
    </w:p>
    <w:p w:rsidR="001F402D" w:rsidRDefault="005F4138">
      <w:pPr>
        <w:autoSpaceDE w:val="0"/>
        <w:ind w:left="742" w:hanging="317"/>
        <w:rPr>
          <w:rFonts w:ascii="Times New Roman" w:hAnsi="Times New Roman"/>
          <w:color w:val="000000"/>
          <w:kern w:val="0"/>
          <w:szCs w:val="24"/>
        </w:rPr>
      </w:pPr>
      <w:r>
        <w:rPr>
          <w:rFonts w:ascii="Times New Roman" w:hAnsi="Times New Roman"/>
          <w:color w:val="000000"/>
          <w:kern w:val="0"/>
          <w:szCs w:val="24"/>
        </w:rPr>
        <w:t>(a) An introduction to the unit and college under evaluation.</w:t>
      </w:r>
    </w:p>
    <w:p w:rsidR="001F402D" w:rsidRDefault="005F4138">
      <w:pPr>
        <w:autoSpaceDE w:val="0"/>
        <w:ind w:left="742" w:hanging="317"/>
        <w:rPr>
          <w:rFonts w:ascii="Times New Roman" w:hAnsi="Times New Roman"/>
          <w:color w:val="000000"/>
          <w:kern w:val="0"/>
          <w:szCs w:val="24"/>
        </w:rPr>
      </w:pPr>
      <w:r>
        <w:rPr>
          <w:rFonts w:ascii="Times New Roman" w:hAnsi="Times New Roman"/>
          <w:color w:val="000000"/>
          <w:kern w:val="0"/>
          <w:szCs w:val="24"/>
        </w:rPr>
        <w:t>(b) A tour of teaching and research facilities (including software and hardware) and a review of relevant materials.</w:t>
      </w:r>
    </w:p>
    <w:p w:rsidR="001F402D" w:rsidRDefault="005F4138">
      <w:pPr>
        <w:autoSpaceDE w:val="0"/>
        <w:ind w:left="742" w:hanging="317"/>
        <w:rPr>
          <w:rFonts w:ascii="Times New Roman" w:hAnsi="Times New Roman"/>
          <w:color w:val="000000"/>
          <w:kern w:val="0"/>
          <w:szCs w:val="24"/>
        </w:rPr>
      </w:pPr>
      <w:r>
        <w:rPr>
          <w:rFonts w:ascii="Times New Roman" w:hAnsi="Times New Roman"/>
          <w:color w:val="000000"/>
          <w:kern w:val="0"/>
          <w:szCs w:val="24"/>
        </w:rPr>
        <w:t>(c) A meeting with the students, faculty members and director of the unit.</w:t>
      </w:r>
    </w:p>
    <w:p w:rsidR="001F402D" w:rsidRDefault="005F4138">
      <w:pPr>
        <w:autoSpaceDE w:val="0"/>
        <w:ind w:left="742" w:hanging="317"/>
        <w:rPr>
          <w:rFonts w:ascii="Times New Roman" w:hAnsi="Times New Roman"/>
          <w:color w:val="000000"/>
          <w:kern w:val="0"/>
          <w:szCs w:val="24"/>
        </w:rPr>
      </w:pPr>
      <w:r>
        <w:rPr>
          <w:rFonts w:ascii="Times New Roman" w:hAnsi="Times New Roman"/>
          <w:color w:val="000000"/>
          <w:kern w:val="0"/>
          <w:szCs w:val="24"/>
        </w:rPr>
        <w:t>(d) Time for evaluation committee members to ask clarifying questions.</w:t>
      </w:r>
    </w:p>
    <w:p w:rsidR="001F402D" w:rsidRDefault="005F4138">
      <w:pPr>
        <w:autoSpaceDE w:val="0"/>
        <w:ind w:left="742" w:hanging="317"/>
        <w:rPr>
          <w:rFonts w:ascii="Times New Roman" w:hAnsi="Times New Roman"/>
          <w:color w:val="000000"/>
          <w:kern w:val="0"/>
          <w:szCs w:val="24"/>
        </w:rPr>
      </w:pPr>
      <w:r>
        <w:rPr>
          <w:rFonts w:ascii="Times New Roman" w:hAnsi="Times New Roman"/>
          <w:color w:val="000000"/>
          <w:kern w:val="0"/>
          <w:szCs w:val="24"/>
        </w:rPr>
        <w:t>(e) A panel discussion, at which the unit offers answers to the clarifying questions (see (d) above).</w:t>
      </w:r>
    </w:p>
    <w:p w:rsidR="001F402D" w:rsidRDefault="005F4138">
      <w:pPr>
        <w:autoSpaceDE w:val="0"/>
        <w:ind w:left="742" w:hanging="317"/>
        <w:rPr>
          <w:rFonts w:ascii="Times New Roman" w:hAnsi="Times New Roman"/>
          <w:color w:val="000000"/>
          <w:kern w:val="0"/>
          <w:szCs w:val="24"/>
        </w:rPr>
      </w:pPr>
      <w:r>
        <w:rPr>
          <w:rFonts w:ascii="Times New Roman" w:hAnsi="Times New Roman"/>
          <w:color w:val="000000"/>
          <w:kern w:val="0"/>
          <w:szCs w:val="24"/>
        </w:rPr>
        <w:t>(f) An evaluation committee meeting and the composition of a (draft) evaluation report. For details, please consult the schedule provided by the unit.</w:t>
      </w:r>
    </w:p>
    <w:p w:rsidR="001F402D" w:rsidRDefault="005F4138">
      <w:pPr>
        <w:autoSpaceDE w:val="0"/>
        <w:spacing w:before="180"/>
        <w:rPr>
          <w:rFonts w:ascii="Times New Roman" w:hAnsi="Times New Roman"/>
          <w:b/>
          <w:bCs/>
          <w:color w:val="000000"/>
          <w:kern w:val="0"/>
          <w:szCs w:val="24"/>
        </w:rPr>
      </w:pPr>
      <w:r>
        <w:rPr>
          <w:rFonts w:ascii="Times New Roman" w:hAnsi="Times New Roman"/>
          <w:b/>
          <w:bCs/>
          <w:color w:val="000000"/>
          <w:kern w:val="0"/>
          <w:szCs w:val="24"/>
        </w:rPr>
        <w:t>III. Evaluation Report:</w:t>
      </w:r>
    </w:p>
    <w:p w:rsidR="001F402D" w:rsidRDefault="005F4138">
      <w:pPr>
        <w:pStyle w:val="a3"/>
        <w:numPr>
          <w:ilvl w:val="0"/>
          <w:numId w:val="3"/>
        </w:numPr>
        <w:autoSpaceDE w:val="0"/>
        <w:ind w:hanging="146"/>
      </w:pPr>
      <w:r>
        <w:rPr>
          <w:rFonts w:ascii="Times New Roman" w:hAnsi="Times New Roman"/>
          <w:b/>
          <w:bCs/>
          <w:color w:val="000000"/>
          <w:kern w:val="0"/>
          <w:szCs w:val="24"/>
        </w:rPr>
        <w:t xml:space="preserve">Final Evaluation Report: </w:t>
      </w:r>
      <w:r>
        <w:rPr>
          <w:rFonts w:ascii="Times New Roman" w:hAnsi="Times New Roman"/>
          <w:color w:val="000000"/>
          <w:kern w:val="0"/>
          <w:szCs w:val="24"/>
        </w:rPr>
        <w:t>Please submit the final report (including both hard copy and soft copy, written in the format specified by the university) to the unit within 30 days of the site visit.</w:t>
      </w:r>
    </w:p>
    <w:p w:rsidR="001F402D" w:rsidRDefault="005F4138">
      <w:pPr>
        <w:pStyle w:val="a3"/>
        <w:numPr>
          <w:ilvl w:val="0"/>
          <w:numId w:val="3"/>
        </w:numPr>
        <w:autoSpaceDE w:val="0"/>
        <w:ind w:hanging="146"/>
      </w:pPr>
      <w:r>
        <w:rPr>
          <w:rFonts w:ascii="Times New Roman" w:hAnsi="Times New Roman"/>
          <w:b/>
          <w:bCs/>
          <w:color w:val="000000"/>
          <w:kern w:val="0"/>
          <w:szCs w:val="24"/>
        </w:rPr>
        <w:t xml:space="preserve">Principles </w:t>
      </w:r>
      <w:r>
        <w:rPr>
          <w:rFonts w:ascii="Times New Roman" w:hAnsi="Times New Roman"/>
          <w:color w:val="000000"/>
          <w:kern w:val="0"/>
          <w:szCs w:val="24"/>
        </w:rPr>
        <w:t>of</w:t>
      </w:r>
      <w:r>
        <w:rPr>
          <w:rFonts w:ascii="Times New Roman" w:hAnsi="Times New Roman"/>
          <w:b/>
          <w:bCs/>
          <w:color w:val="000000"/>
          <w:kern w:val="0"/>
          <w:szCs w:val="24"/>
        </w:rPr>
        <w:t xml:space="preserve"> composition: </w:t>
      </w:r>
      <w:r>
        <w:rPr>
          <w:rFonts w:ascii="Times New Roman" w:hAnsi="Times New Roman"/>
          <w:color w:val="000000"/>
          <w:kern w:val="0"/>
          <w:szCs w:val="24"/>
        </w:rPr>
        <w:t>For the sake of clarity, please follow the format specified by National Taiwan University and maintain a consistent writing style for the final evaluation report, which should include an overall summary at the beginning of the report, briefly highlighting the main points of the evaluation.</w:t>
      </w:r>
    </w:p>
    <w:p w:rsidR="001F402D" w:rsidRDefault="005F4138">
      <w:pPr>
        <w:autoSpaceDE w:val="0"/>
        <w:spacing w:before="180"/>
        <w:rPr>
          <w:rFonts w:ascii="Times New Roman" w:hAnsi="Times New Roman"/>
          <w:b/>
          <w:bCs/>
          <w:color w:val="000000"/>
          <w:kern w:val="0"/>
          <w:szCs w:val="24"/>
        </w:rPr>
      </w:pPr>
      <w:r>
        <w:rPr>
          <w:rFonts w:ascii="Times New Roman" w:hAnsi="Times New Roman"/>
          <w:b/>
          <w:bCs/>
          <w:color w:val="000000"/>
          <w:kern w:val="0"/>
          <w:szCs w:val="24"/>
        </w:rPr>
        <w:lastRenderedPageBreak/>
        <w:t>IV. Resources and links:</w:t>
      </w:r>
    </w:p>
    <w:p w:rsidR="001F402D" w:rsidRDefault="005F4138">
      <w:pPr>
        <w:pStyle w:val="a3"/>
        <w:numPr>
          <w:ilvl w:val="0"/>
          <w:numId w:val="4"/>
        </w:numPr>
        <w:autoSpaceDE w:val="0"/>
        <w:ind w:hanging="153"/>
      </w:pPr>
      <w:r>
        <w:rPr>
          <w:rFonts w:ascii="Times New Roman" w:hAnsi="Times New Roman"/>
          <w:color w:val="000000"/>
          <w:kern w:val="0"/>
          <w:szCs w:val="24"/>
        </w:rPr>
        <w:t xml:space="preserve">For further information on National Taiwan University teaching and research unit evaluation, including regulations, rationale, units for evaluation, procedure, and updates, please check the Evaluation of NTU Academic Units website, maintained by the Office of Academic Affairs. (NTU </w:t>
      </w:r>
      <w:proofErr w:type="spellStart"/>
      <w:r>
        <w:rPr>
          <w:rFonts w:ascii="Times New Roman" w:hAnsi="Times New Roman"/>
          <w:color w:val="000000"/>
          <w:kern w:val="0"/>
          <w:szCs w:val="24"/>
        </w:rPr>
        <w:t>Homepage</w:t>
      </w:r>
      <w:r>
        <w:rPr>
          <w:rFonts w:ascii="Wingdings-Regular" w:eastAsia="Wingdings-Regular" w:hAnsi="Wingdings-Regular" w:cs="Wingdings-Regular"/>
          <w:color w:val="000000"/>
          <w:kern w:val="0"/>
          <w:szCs w:val="24"/>
        </w:rPr>
        <w:t></w:t>
      </w:r>
      <w:r>
        <w:rPr>
          <w:rFonts w:ascii="Times New Roman" w:hAnsi="Times New Roman"/>
          <w:color w:val="000000"/>
          <w:kern w:val="0"/>
          <w:szCs w:val="24"/>
        </w:rPr>
        <w:t>Administration</w:t>
      </w:r>
      <w:r>
        <w:rPr>
          <w:rFonts w:ascii="Wingdings-Regular" w:eastAsia="Wingdings-Regular" w:hAnsi="Wingdings-Regular" w:cs="Wingdings-Regular"/>
          <w:color w:val="000000"/>
          <w:kern w:val="0"/>
          <w:szCs w:val="24"/>
        </w:rPr>
        <w:t></w:t>
      </w:r>
      <w:r>
        <w:rPr>
          <w:rFonts w:ascii="Times New Roman" w:hAnsi="Times New Roman"/>
          <w:color w:val="000000"/>
          <w:kern w:val="0"/>
          <w:szCs w:val="24"/>
        </w:rPr>
        <w:t>Office</w:t>
      </w:r>
      <w:proofErr w:type="spellEnd"/>
      <w:r>
        <w:rPr>
          <w:rFonts w:ascii="Times New Roman" w:hAnsi="Times New Roman"/>
          <w:color w:val="000000"/>
          <w:kern w:val="0"/>
          <w:szCs w:val="24"/>
        </w:rPr>
        <w:t xml:space="preserve"> of Academic </w:t>
      </w:r>
      <w:proofErr w:type="spellStart"/>
      <w:r>
        <w:rPr>
          <w:rFonts w:ascii="Times New Roman" w:hAnsi="Times New Roman"/>
          <w:color w:val="000000"/>
          <w:kern w:val="0"/>
          <w:szCs w:val="24"/>
        </w:rPr>
        <w:t>Affairs</w:t>
      </w:r>
      <w:r>
        <w:rPr>
          <w:rFonts w:ascii="Wingdings-Regular" w:eastAsia="Wingdings-Regular" w:hAnsi="Wingdings-Regular" w:cs="Wingdings-Regular"/>
          <w:color w:val="000000"/>
          <w:kern w:val="0"/>
          <w:szCs w:val="24"/>
        </w:rPr>
        <w:t></w:t>
      </w:r>
      <w:r>
        <w:rPr>
          <w:rFonts w:ascii="Times New Roman" w:hAnsi="Times New Roman"/>
          <w:color w:val="000000"/>
          <w:kern w:val="0"/>
          <w:szCs w:val="24"/>
        </w:rPr>
        <w:t>Secretariat</w:t>
      </w:r>
      <w:r>
        <w:rPr>
          <w:rFonts w:ascii="Wingdings-Regular" w:eastAsia="Wingdings-Regular" w:hAnsi="Wingdings-Regular" w:cs="Wingdings-Regular"/>
          <w:color w:val="000000"/>
          <w:kern w:val="0"/>
          <w:szCs w:val="24"/>
        </w:rPr>
        <w:t></w:t>
      </w:r>
      <w:r>
        <w:rPr>
          <w:rFonts w:ascii="Times New Roman" w:hAnsi="Times New Roman"/>
          <w:color w:val="000000"/>
          <w:kern w:val="0"/>
          <w:szCs w:val="24"/>
        </w:rPr>
        <w:t>Services</w:t>
      </w:r>
      <w:r>
        <w:rPr>
          <w:rFonts w:ascii="Wingdings-Regular" w:eastAsia="Wingdings-Regular" w:hAnsi="Wingdings-Regular" w:cs="Wingdings-Regular"/>
          <w:color w:val="000000"/>
          <w:kern w:val="0"/>
          <w:szCs w:val="24"/>
        </w:rPr>
        <w:t></w:t>
      </w:r>
      <w:r>
        <w:rPr>
          <w:rFonts w:ascii="Times New Roman" w:hAnsi="Times New Roman"/>
          <w:color w:val="000000"/>
          <w:kern w:val="0"/>
          <w:szCs w:val="24"/>
        </w:rPr>
        <w:t>Evaluation</w:t>
      </w:r>
      <w:proofErr w:type="spellEnd"/>
      <w:r>
        <w:rPr>
          <w:rFonts w:ascii="Times New Roman" w:hAnsi="Times New Roman"/>
          <w:color w:val="000000"/>
          <w:kern w:val="0"/>
          <w:szCs w:val="24"/>
        </w:rPr>
        <w:t xml:space="preserve"> of NTU Academic Units)</w:t>
      </w:r>
    </w:p>
    <w:p w:rsidR="001F402D" w:rsidRDefault="005F4138">
      <w:pPr>
        <w:pStyle w:val="a3"/>
        <w:numPr>
          <w:ilvl w:val="0"/>
          <w:numId w:val="4"/>
        </w:numPr>
        <w:autoSpaceDE w:val="0"/>
        <w:ind w:hanging="153"/>
        <w:rPr>
          <w:rFonts w:ascii="Times New Roman" w:hAnsi="Times New Roman"/>
          <w:color w:val="000000"/>
          <w:kern w:val="0"/>
          <w:szCs w:val="24"/>
        </w:rPr>
      </w:pPr>
      <w:r>
        <w:rPr>
          <w:rFonts w:ascii="Times New Roman" w:hAnsi="Times New Roman"/>
          <w:color w:val="000000"/>
          <w:kern w:val="0"/>
          <w:szCs w:val="24"/>
        </w:rPr>
        <w:t>The Evaluation of NTU Academic Units site provides further information on the principles behind National Taiwan University’s evaluation work and on evaluation workshops offered by the Office of Academic Affairs.</w:t>
      </w:r>
    </w:p>
    <w:p w:rsidR="001F402D" w:rsidRDefault="005F4138">
      <w:pPr>
        <w:pStyle w:val="a3"/>
        <w:numPr>
          <w:ilvl w:val="0"/>
          <w:numId w:val="4"/>
        </w:numPr>
        <w:autoSpaceDE w:val="0"/>
        <w:ind w:hanging="153"/>
        <w:rPr>
          <w:rFonts w:ascii="Times New Roman" w:hAnsi="Times New Roman"/>
          <w:color w:val="000000"/>
          <w:kern w:val="0"/>
          <w:szCs w:val="24"/>
        </w:rPr>
      </w:pPr>
      <w:r>
        <w:rPr>
          <w:rFonts w:ascii="Times New Roman" w:hAnsi="Times New Roman"/>
          <w:color w:val="000000"/>
          <w:kern w:val="0"/>
          <w:szCs w:val="24"/>
        </w:rPr>
        <w:t>For information on transportation, accommodation, expense reimbursement, forms, etc., please feel free to contact the following units:</w:t>
      </w:r>
    </w:p>
    <w:p w:rsidR="001F402D" w:rsidRDefault="005F4138">
      <w:pPr>
        <w:autoSpaceDE w:val="0"/>
        <w:spacing w:before="180"/>
        <w:ind w:left="658" w:hanging="233"/>
      </w:pPr>
      <w:r>
        <w:rPr>
          <w:rFonts w:ascii="Times New Roman" w:hAnsi="Times New Roman"/>
          <w:color w:val="000000"/>
          <w:kern w:val="0"/>
          <w:szCs w:val="24"/>
        </w:rPr>
        <w:t xml:space="preserve">1. Unit being evaluated: </w:t>
      </w:r>
      <w:r>
        <w:rPr>
          <w:rFonts w:ascii="Times New Roman" w:hAnsi="Times New Roman"/>
          <w:color w:val="000000"/>
          <w:kern w:val="0"/>
          <w:szCs w:val="24"/>
          <w:shd w:val="clear" w:color="auto" w:fill="FFFF00"/>
        </w:rPr>
        <w:t>(Please provide contact details for the coordinator for the evaluation committee in your unit.)</w:t>
      </w:r>
    </w:p>
    <w:p w:rsidR="001F402D" w:rsidRDefault="005F4138">
      <w:pPr>
        <w:autoSpaceDE w:val="0"/>
        <w:spacing w:before="180"/>
        <w:ind w:left="658" w:hanging="233"/>
        <w:rPr>
          <w:rFonts w:ascii="Times New Roman" w:hAnsi="Times New Roman"/>
          <w:color w:val="000000"/>
          <w:kern w:val="0"/>
          <w:szCs w:val="24"/>
        </w:rPr>
      </w:pPr>
      <w:r>
        <w:rPr>
          <w:rFonts w:ascii="Times New Roman" w:hAnsi="Times New Roman"/>
          <w:color w:val="000000"/>
          <w:kern w:val="0"/>
          <w:szCs w:val="24"/>
        </w:rPr>
        <w:t>2. Office of Academic Affairs:</w:t>
      </w:r>
    </w:p>
    <w:p w:rsidR="001F402D" w:rsidRDefault="005F4138">
      <w:pPr>
        <w:autoSpaceDE w:val="0"/>
        <w:ind w:left="658"/>
        <w:rPr>
          <w:rFonts w:ascii="Times New Roman" w:hAnsi="Times New Roman"/>
          <w:color w:val="000000"/>
          <w:kern w:val="0"/>
          <w:szCs w:val="24"/>
        </w:rPr>
      </w:pPr>
      <w:r>
        <w:rPr>
          <w:rFonts w:ascii="Times New Roman" w:hAnsi="Times New Roman"/>
          <w:color w:val="000000"/>
          <w:kern w:val="0"/>
          <w:szCs w:val="24"/>
        </w:rPr>
        <w:t>Tel: (02) 3366-2388 ext. 105</w:t>
      </w:r>
    </w:p>
    <w:p w:rsidR="001F402D" w:rsidRDefault="005F4138">
      <w:pPr>
        <w:autoSpaceDE w:val="0"/>
        <w:ind w:left="658"/>
      </w:pPr>
      <w:r>
        <w:rPr>
          <w:rFonts w:ascii="Times New Roman" w:hAnsi="Times New Roman"/>
          <w:color w:val="000000"/>
          <w:kern w:val="0"/>
          <w:szCs w:val="24"/>
        </w:rPr>
        <w:t>Email: seanchen0706@ntu.edu.tw</w:t>
      </w:r>
    </w:p>
    <w:sectPr w:rsidR="001F402D">
      <w:headerReference w:type="default" r:id="rId7"/>
      <w:pgSz w:w="11906" w:h="16838"/>
      <w:pgMar w:top="1440" w:right="1418" w:bottom="1440" w:left="1418"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E0F" w:rsidRDefault="006E1E0F">
      <w:r>
        <w:separator/>
      </w:r>
    </w:p>
  </w:endnote>
  <w:endnote w:type="continuationSeparator" w:id="0">
    <w:p w:rsidR="006E1E0F" w:rsidRDefault="006E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Regular">
    <w:altName w:val="Wingding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E0F" w:rsidRDefault="006E1E0F">
      <w:r>
        <w:rPr>
          <w:color w:val="000000"/>
        </w:rPr>
        <w:separator/>
      </w:r>
    </w:p>
  </w:footnote>
  <w:footnote w:type="continuationSeparator" w:id="0">
    <w:p w:rsidR="006E1E0F" w:rsidRDefault="006E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709" w:rsidRDefault="00CE2709" w:rsidP="00CE2709">
    <w:pPr>
      <w:pStyle w:val="a4"/>
      <w:jc w:val="right"/>
    </w:pPr>
    <w:r>
      <w:rPr>
        <w:rFonts w:ascii="Times New Roman" w:hAnsi="Times New Roman"/>
        <w:color w:val="000000"/>
        <w:kern w:val="0"/>
      </w:rPr>
      <w:t xml:space="preserve">Ver. </w:t>
    </w:r>
    <w:r>
      <w:rPr>
        <w:rFonts w:ascii="Times New Roman" w:hAnsi="Times New Roman" w:hint="eastAsia"/>
        <w:color w:val="000000"/>
        <w:kern w:val="0"/>
      </w:rPr>
      <w:t>202407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73EC0"/>
    <w:multiLevelType w:val="multilevel"/>
    <w:tmpl w:val="369C6E60"/>
    <w:lvl w:ilvl="0">
      <w:start w:val="1"/>
      <w:numFmt w:val="lowerRoman"/>
      <w:lvlText w:val="%1."/>
      <w:lvlJc w:val="right"/>
      <w:pPr>
        <w:ind w:left="7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8BD5CD9"/>
    <w:multiLevelType w:val="multilevel"/>
    <w:tmpl w:val="5A524E2A"/>
    <w:lvl w:ilvl="0">
      <w:start w:val="1"/>
      <w:numFmt w:val="lowerRoman"/>
      <w:lvlText w:val="%1."/>
      <w:lvlJc w:val="right"/>
      <w:pPr>
        <w:ind w:left="7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9733EA1"/>
    <w:multiLevelType w:val="multilevel"/>
    <w:tmpl w:val="F48653A6"/>
    <w:lvl w:ilvl="0">
      <w:start w:val="1"/>
      <w:numFmt w:val="lowerRoman"/>
      <w:lvlText w:val="%1."/>
      <w:lvlJc w:val="righ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762003DE"/>
    <w:multiLevelType w:val="multilevel"/>
    <w:tmpl w:val="17BE4C12"/>
    <w:lvl w:ilvl="0">
      <w:start w:val="1"/>
      <w:numFmt w:val="lowerRoman"/>
      <w:lvlText w:val="%1."/>
      <w:lvlJc w:val="righ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D"/>
    <w:rsid w:val="001F402D"/>
    <w:rsid w:val="005F4138"/>
    <w:rsid w:val="006E1E0F"/>
    <w:rsid w:val="00A27F76"/>
    <w:rsid w:val="00CE2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5DC0"/>
  <w15:docId w15:val="{5963688D-3F59-4067-95AB-CEB452B2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link w:val="a5"/>
    <w:uiPriority w:val="99"/>
    <w:unhideWhenUsed/>
    <w:rsid w:val="00CE2709"/>
    <w:pPr>
      <w:tabs>
        <w:tab w:val="center" w:pos="4153"/>
        <w:tab w:val="right" w:pos="8306"/>
      </w:tabs>
      <w:snapToGrid w:val="0"/>
    </w:pPr>
    <w:rPr>
      <w:sz w:val="20"/>
      <w:szCs w:val="20"/>
    </w:rPr>
  </w:style>
  <w:style w:type="character" w:customStyle="1" w:styleId="a5">
    <w:name w:val="頁首 字元"/>
    <w:basedOn w:val="a0"/>
    <w:link w:val="a4"/>
    <w:uiPriority w:val="99"/>
    <w:rsid w:val="00CE2709"/>
    <w:rPr>
      <w:sz w:val="20"/>
      <w:szCs w:val="20"/>
    </w:rPr>
  </w:style>
  <w:style w:type="paragraph" w:styleId="a6">
    <w:name w:val="footer"/>
    <w:basedOn w:val="a"/>
    <w:link w:val="a7"/>
    <w:uiPriority w:val="99"/>
    <w:unhideWhenUsed/>
    <w:rsid w:val="00CE2709"/>
    <w:pPr>
      <w:tabs>
        <w:tab w:val="center" w:pos="4153"/>
        <w:tab w:val="right" w:pos="8306"/>
      </w:tabs>
      <w:snapToGrid w:val="0"/>
    </w:pPr>
    <w:rPr>
      <w:sz w:val="20"/>
      <w:szCs w:val="20"/>
    </w:rPr>
  </w:style>
  <w:style w:type="character" w:customStyle="1" w:styleId="a7">
    <w:name w:val="頁尾 字元"/>
    <w:basedOn w:val="a0"/>
    <w:link w:val="a6"/>
    <w:uiPriority w:val="99"/>
    <w:rsid w:val="00CE27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2022-10-24T10:38:00Z</dcterms:created>
  <dcterms:modified xsi:type="dcterms:W3CDTF">2024-09-04T06:42:00Z</dcterms:modified>
</cp:coreProperties>
</file>